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5EF" w:rsidRPr="00F14184" w:rsidRDefault="00A015EF" w:rsidP="00A015EF">
      <w:pPr>
        <w:spacing w:after="0"/>
        <w:rPr>
          <w:rFonts w:cs="Calibri"/>
          <w:color w:val="0D0D0D"/>
          <w:sz w:val="28"/>
        </w:rPr>
      </w:pPr>
      <w:bookmarkStart w:id="0" w:name="_GoBack"/>
      <w:bookmarkEnd w:id="0"/>
      <w:r>
        <w:rPr>
          <w:rFonts w:cs="Calibri"/>
          <w:noProof/>
          <w:sz w:val="28"/>
          <w:szCs w:val="28"/>
          <w:lang w:eastAsia="es-AR"/>
        </w:rPr>
        <w:drawing>
          <wp:inline distT="0" distB="0" distL="0" distR="0" wp14:anchorId="0AB12F67" wp14:editId="4A742868">
            <wp:extent cx="466725" cy="571500"/>
            <wp:effectExtent l="19050" t="0" r="9525" b="0"/>
            <wp:docPr id="1" name="Imagen 2" descr="consec mend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onsec mendoz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Calibri"/>
          <w:color w:val="000000"/>
          <w:sz w:val="28"/>
          <w:szCs w:val="28"/>
        </w:rPr>
        <w:t xml:space="preserve">                                                               </w:t>
      </w:r>
      <w:r w:rsidRPr="00F14184">
        <w:rPr>
          <w:rFonts w:cs="Calibri"/>
          <w:color w:val="000000"/>
          <w:sz w:val="28"/>
          <w:szCs w:val="28"/>
        </w:rPr>
        <w:t>C</w:t>
      </w:r>
      <w:r w:rsidRPr="00F14184">
        <w:rPr>
          <w:rFonts w:cs="Calibri"/>
          <w:color w:val="000000"/>
        </w:rPr>
        <w:t xml:space="preserve">ONSEJO DE </w:t>
      </w:r>
      <w:r w:rsidRPr="00F14184">
        <w:rPr>
          <w:rFonts w:cs="Calibri"/>
          <w:color w:val="000000"/>
          <w:sz w:val="28"/>
          <w:szCs w:val="28"/>
        </w:rPr>
        <w:t>E</w:t>
      </w:r>
      <w:r w:rsidRPr="00F14184">
        <w:rPr>
          <w:rFonts w:cs="Calibri"/>
          <w:color w:val="000000"/>
        </w:rPr>
        <w:t xml:space="preserve">DUCACIÓN </w:t>
      </w:r>
      <w:r w:rsidRPr="00F14184">
        <w:rPr>
          <w:rFonts w:cs="Calibri"/>
          <w:color w:val="000000"/>
          <w:sz w:val="28"/>
          <w:szCs w:val="28"/>
        </w:rPr>
        <w:t>C</w:t>
      </w:r>
      <w:r w:rsidRPr="00F14184">
        <w:rPr>
          <w:rFonts w:cs="Calibri"/>
          <w:color w:val="000000"/>
        </w:rPr>
        <w:t xml:space="preserve">ATÓLICA </w:t>
      </w:r>
    </w:p>
    <w:p w:rsidR="00A015EF" w:rsidRPr="007B4780" w:rsidRDefault="00A015EF" w:rsidP="00A015EF">
      <w:pPr>
        <w:pBdr>
          <w:bottom w:val="single" w:sz="12" w:space="1" w:color="auto"/>
        </w:pBdr>
        <w:spacing w:after="0"/>
        <w:jc w:val="center"/>
        <w:rPr>
          <w:color w:val="3B3838" w:themeColor="background2" w:themeShade="40"/>
          <w:sz w:val="16"/>
          <w:szCs w:val="16"/>
        </w:rPr>
      </w:pPr>
      <w:r w:rsidRPr="007B4780">
        <w:rPr>
          <w:rFonts w:cs="Calibri"/>
          <w:b/>
          <w:color w:val="808080"/>
          <w:sz w:val="16"/>
          <w:szCs w:val="16"/>
        </w:rPr>
        <w:t>Uruguay 750, Godoy Cruz- 5501 Mendoza -</w:t>
      </w:r>
      <w:r w:rsidRPr="007B4780">
        <w:rPr>
          <w:rFonts w:cs="Calibri"/>
          <w:sz w:val="16"/>
          <w:szCs w:val="16"/>
        </w:rPr>
        <w:t xml:space="preserve"> </w:t>
      </w:r>
      <w:hyperlink r:id="rId5" w:history="1">
        <w:r w:rsidRPr="007B4780">
          <w:rPr>
            <w:rStyle w:val="Hipervnculo"/>
            <w:rFonts w:cs="Calibri"/>
            <w:sz w:val="16"/>
            <w:szCs w:val="16"/>
          </w:rPr>
          <w:t>consec.mendoza@gmail.com</w:t>
        </w:r>
      </w:hyperlink>
      <w:r w:rsidRPr="007B4780">
        <w:rPr>
          <w:sz w:val="16"/>
          <w:szCs w:val="16"/>
        </w:rPr>
        <w:t xml:space="preserve"> – </w:t>
      </w:r>
      <w:hyperlink r:id="rId6" w:history="1">
        <w:r w:rsidRPr="007B4780">
          <w:rPr>
            <w:rStyle w:val="Hipervnculo"/>
            <w:sz w:val="16"/>
            <w:szCs w:val="16"/>
          </w:rPr>
          <w:t>www.consecmendoza.org</w:t>
        </w:r>
      </w:hyperlink>
      <w:r w:rsidRPr="007B4780">
        <w:rPr>
          <w:sz w:val="16"/>
          <w:szCs w:val="16"/>
        </w:rPr>
        <w:t xml:space="preserve"> </w:t>
      </w:r>
      <w:r w:rsidRPr="007B4780">
        <w:rPr>
          <w:b/>
          <w:bCs/>
          <w:color w:val="3B3838" w:themeColor="background2" w:themeShade="40"/>
          <w:sz w:val="16"/>
          <w:szCs w:val="16"/>
        </w:rPr>
        <w:t>Tel. celular (261) 7000 388</w:t>
      </w:r>
    </w:p>
    <w:p w:rsidR="00A015EF" w:rsidRDefault="00A015EF" w:rsidP="00A015EF">
      <w:pPr>
        <w:jc w:val="center"/>
      </w:pPr>
    </w:p>
    <w:p w:rsidR="00E23F65" w:rsidRDefault="00E23F65" w:rsidP="00E23F65">
      <w:pPr>
        <w:jc w:val="right"/>
      </w:pPr>
      <w:r>
        <w:t>Mendoza, 6 de abril de 2020.</w:t>
      </w:r>
    </w:p>
    <w:p w:rsidR="00E23F65" w:rsidRDefault="00E23F65" w:rsidP="00345137">
      <w:pPr>
        <w:spacing w:after="0"/>
      </w:pPr>
      <w:r>
        <w:t>Señora</w:t>
      </w:r>
      <w:r w:rsidR="00345137">
        <w:t xml:space="preserve"> </w:t>
      </w:r>
      <w:r>
        <w:t>Directora</w:t>
      </w:r>
      <w:r w:rsidR="00345137" w:rsidRPr="00345137">
        <w:t xml:space="preserve"> </w:t>
      </w:r>
      <w:r w:rsidR="00345137">
        <w:t>de Educación Privada</w:t>
      </w:r>
    </w:p>
    <w:p w:rsidR="00345137" w:rsidRDefault="00997744" w:rsidP="00345137">
      <w:pPr>
        <w:spacing w:after="0"/>
      </w:pPr>
      <w:r>
        <w:t>DRA. BEATRIZ DELLA SAVIA</w:t>
      </w:r>
    </w:p>
    <w:p w:rsidR="00345137" w:rsidRDefault="00345137" w:rsidP="00345137">
      <w:pPr>
        <w:spacing w:after="0"/>
      </w:pPr>
      <w:r>
        <w:t>Dirección General de Escuelas Mendoza</w:t>
      </w:r>
    </w:p>
    <w:p w:rsidR="00345137" w:rsidRDefault="00345137" w:rsidP="00E23F65"/>
    <w:p w:rsidR="00E23F65" w:rsidRPr="00345137" w:rsidRDefault="00E23F65" w:rsidP="00345137">
      <w:pPr>
        <w:jc w:val="right"/>
        <w:rPr>
          <w:b/>
        </w:rPr>
      </w:pPr>
      <w:r w:rsidRPr="00345137">
        <w:rPr>
          <w:b/>
        </w:rPr>
        <w:t>Refer</w:t>
      </w:r>
      <w:r w:rsidR="00345137" w:rsidRPr="00345137">
        <w:rPr>
          <w:b/>
        </w:rPr>
        <w:t>encia: SOLICITUD DE PRORROGA RE</w:t>
      </w:r>
      <w:r w:rsidRPr="00345137">
        <w:rPr>
          <w:b/>
        </w:rPr>
        <w:t>NDICION DE CUENTAS MARZO 2020.</w:t>
      </w:r>
    </w:p>
    <w:p w:rsidR="00E23F65" w:rsidRPr="00CD3567" w:rsidRDefault="00E23F65" w:rsidP="00E23F65">
      <w:pPr>
        <w:jc w:val="both"/>
      </w:pPr>
      <w:r>
        <w:t>De nuestra mayor consideración.</w:t>
      </w:r>
    </w:p>
    <w:p w:rsidR="00E23F65" w:rsidRDefault="00E23F65" w:rsidP="00E23F65">
      <w:pPr>
        <w:ind w:firstLine="708"/>
        <w:jc w:val="both"/>
      </w:pPr>
      <w:r>
        <w:tab/>
      </w:r>
      <w:r>
        <w:tab/>
      </w:r>
      <w:r w:rsidRPr="00CD3567">
        <w:t>En nuestro carácter de representantes de las instituciones educativas priv</w:t>
      </w:r>
      <w:r>
        <w:t>adas</w:t>
      </w:r>
      <w:r w:rsidR="00A015EF">
        <w:t xml:space="preserve"> del CONSEC</w:t>
      </w:r>
      <w:r>
        <w:t xml:space="preserve"> nos dirigimos a Ud., con el objeto de solicitar la prórroga del plazo de rendición de cuentas de los fondos recibidos en concepto de aporte e</w:t>
      </w:r>
      <w:r w:rsidR="006A2155">
        <w:t xml:space="preserve">statal del mes de marzo de 2020, </w:t>
      </w:r>
      <w:r w:rsidR="00345137">
        <w:t>vencimiento que,</w:t>
      </w:r>
      <w:r w:rsidR="006A2155">
        <w:t xml:space="preserve"> por nota del Departamento Contable</w:t>
      </w:r>
      <w:r w:rsidR="00345137">
        <w:t>, se habría dispuesto</w:t>
      </w:r>
      <w:r w:rsidR="006A2155">
        <w:t xml:space="preserve"> par</w:t>
      </w:r>
      <w:r w:rsidR="00603CB6">
        <w:t>a el 13 de abril de 2020</w:t>
      </w:r>
      <w:r w:rsidR="00345137">
        <w:t>. Esta fecha</w:t>
      </w:r>
      <w:r w:rsidR="00603CB6">
        <w:t xml:space="preserve"> obligaría a liquidar y pagar </w:t>
      </w:r>
      <w:r w:rsidR="00603CB6" w:rsidRPr="00345137">
        <w:rPr>
          <w:b/>
        </w:rPr>
        <w:t>antes</w:t>
      </w:r>
      <w:r w:rsidR="00603CB6">
        <w:t xml:space="preserve"> de los vencimientos, y antes de que la AFIP haya definido programas ni reglamentado normas</w:t>
      </w:r>
      <w:r w:rsidR="00345137">
        <w:t>,</w:t>
      </w:r>
      <w:r w:rsidR="00603CB6">
        <w:t xml:space="preserve"> para el pago de las leyes sociales correspondientes al periodo posterior al 20 de marzo de 2020.</w:t>
      </w:r>
    </w:p>
    <w:p w:rsidR="00E23F65" w:rsidRDefault="00E23F65" w:rsidP="00E23F65">
      <w:pPr>
        <w:ind w:firstLine="708"/>
        <w:jc w:val="both"/>
      </w:pPr>
      <w:r>
        <w:tab/>
      </w:r>
      <w:r>
        <w:tab/>
      </w:r>
      <w:r w:rsidR="00345137">
        <w:t>La</w:t>
      </w:r>
      <w:r>
        <w:t xml:space="preserve"> presente</w:t>
      </w:r>
      <w:r w:rsidR="00345137">
        <w:t xml:space="preserve"> solicitud</w:t>
      </w:r>
      <w:r>
        <w:t>,</w:t>
      </w:r>
      <w:r w:rsidR="00603CB6">
        <w:t xml:space="preserve"> además de lo mencionado en el párrafo </w:t>
      </w:r>
      <w:r w:rsidR="00345137">
        <w:t>precedente, se fundamenta en</w:t>
      </w:r>
      <w:r w:rsidR="00CE3684">
        <w:t xml:space="preserve"> que</w:t>
      </w:r>
      <w:r>
        <w:t>:</w:t>
      </w:r>
    </w:p>
    <w:p w:rsidR="00740203" w:rsidRDefault="008C7664" w:rsidP="00E23F65">
      <w:pPr>
        <w:jc w:val="both"/>
      </w:pPr>
      <w:r>
        <w:t xml:space="preserve">1.- Hasta la fecha ni el </w:t>
      </w:r>
      <w:r w:rsidR="00E23F65">
        <w:t xml:space="preserve">Poder Ejecutivo Nacional, ni el </w:t>
      </w:r>
      <w:r>
        <w:t>Ministerio de Trabajo, ha</w:t>
      </w:r>
      <w:r w:rsidR="00E23F65">
        <w:t>n</w:t>
      </w:r>
      <w:r>
        <w:t xml:space="preserve"> </w:t>
      </w:r>
      <w:r w:rsidR="00E23F65">
        <w:t xml:space="preserve">establecido claramente, ni </w:t>
      </w:r>
      <w:r>
        <w:t>concluido las normativas para la liquidación y pago de leyes sociales</w:t>
      </w:r>
      <w:r w:rsidR="00E23F65">
        <w:t xml:space="preserve"> de los trabajadores que a partir del 20 de marzo están sujetos al aislamiento obligatorio</w:t>
      </w:r>
      <w:r>
        <w:t xml:space="preserve">, </w:t>
      </w:r>
      <w:r w:rsidR="00CE3684">
        <w:t>por lo que no está definido con certeza el ámbito de aplicación del alcance (beneficio)</w:t>
      </w:r>
      <w:r>
        <w:t xml:space="preserve"> </w:t>
      </w:r>
      <w:r w:rsidR="00CE3684">
        <w:t>de</w:t>
      </w:r>
      <w:r>
        <w:t xml:space="preserve"> los Decretos 260/2020, 297/2020, 298/2020, </w:t>
      </w:r>
      <w:r w:rsidR="004550BB">
        <w:t xml:space="preserve">332/2020, </w:t>
      </w:r>
      <w:r>
        <w:t xml:space="preserve">333/2020 </w:t>
      </w:r>
      <w:r w:rsidR="00CE3684">
        <w:t xml:space="preserve">- </w:t>
      </w:r>
      <w:r>
        <w:t>Resoluci</w:t>
      </w:r>
      <w:r w:rsidR="004550BB">
        <w:t>ones del Ministerio de Trabajo de la Nación 207/2020, 229/2020, 233/2020, 279</w:t>
      </w:r>
      <w:r>
        <w:t>/202</w:t>
      </w:r>
      <w:r w:rsidR="004550BB">
        <w:t>0, y 296/2020</w:t>
      </w:r>
      <w:r w:rsidR="00CE3684">
        <w:t xml:space="preserve">. La AFIP, hasta la fecha no ha emitido las normas reglamentarias de los beneficios otorgados por los Decretos y Resoluciones mencionadas, por lo que efectuar la presentación y pago anticipados para poder cumplir la fecha de rendición del 13/4 traería </w:t>
      </w:r>
      <w:r w:rsidR="00740203">
        <w:t xml:space="preserve">como consecuencia la pérdida de algunos beneficios previstos o anunciados. Entre otros, los dispuestos para otras actividades,  disminución de cargas patronales, financiamiento y créditos bancarios, diferimientos, tasas financieras subsidiadas entre otros que se han dispuesto o están en análisis por las autoridades. Reiteramos que toda o cualquier medida es con el fin de disminuir indirectamente el costo laboral de manera temporal sin afectar el salario del personal. </w:t>
      </w:r>
    </w:p>
    <w:p w:rsidR="008C7664" w:rsidRDefault="008C7664" w:rsidP="00E23F65">
      <w:pPr>
        <w:jc w:val="both"/>
      </w:pPr>
      <w:r>
        <w:t>2.- El cierre de las entidades bancarias para operaciones normales y habituales ha generado la imposibil</w:t>
      </w:r>
      <w:r w:rsidR="00740203">
        <w:t xml:space="preserve">idad de pago de algunos aportes. </w:t>
      </w:r>
    </w:p>
    <w:p w:rsidR="00740203" w:rsidRDefault="00740203" w:rsidP="00E23F65">
      <w:pPr>
        <w:jc w:val="both"/>
      </w:pPr>
      <w:r>
        <w:t xml:space="preserve">2.1. – También ha imposibilitado el pago de los aranceles por parte de un sector del alumnado que acostumbra a </w:t>
      </w:r>
      <w:r w:rsidR="00A015EF">
        <w:t>hacerlo en forma presencial en los bancos o entidades recaudadoras.</w:t>
      </w:r>
    </w:p>
    <w:p w:rsidR="00E23F65" w:rsidRDefault="008C7664" w:rsidP="00E23F65">
      <w:pPr>
        <w:jc w:val="both"/>
      </w:pPr>
      <w:r>
        <w:t>3.- E</w:t>
      </w:r>
      <w:r w:rsidR="00E23F65">
        <w:t>l aislamiento obligatorio</w:t>
      </w:r>
      <w:r>
        <w:t xml:space="preserve">, previsto por el Decreto </w:t>
      </w:r>
      <w:r w:rsidR="00E23F65">
        <w:t>297/2020</w:t>
      </w:r>
      <w:r>
        <w:t>,</w:t>
      </w:r>
      <w:r w:rsidR="00E23F65">
        <w:t xml:space="preserve"> ha generado dificultades admin</w:t>
      </w:r>
      <w:r>
        <w:t>i</w:t>
      </w:r>
      <w:r w:rsidR="00E23F65">
        <w:t>s</w:t>
      </w:r>
      <w:r>
        <w:t>trativas a los apoderados de los establecimientos educativos.</w:t>
      </w:r>
    </w:p>
    <w:p w:rsidR="00CE2256" w:rsidRPr="00F14184" w:rsidRDefault="00CE2256" w:rsidP="00CE2256">
      <w:pPr>
        <w:spacing w:after="0"/>
        <w:rPr>
          <w:rFonts w:cs="Calibri"/>
          <w:color w:val="0D0D0D"/>
          <w:sz w:val="28"/>
        </w:rPr>
      </w:pPr>
      <w:r>
        <w:rPr>
          <w:rFonts w:cs="Calibri"/>
          <w:noProof/>
          <w:sz w:val="28"/>
          <w:szCs w:val="28"/>
          <w:lang w:eastAsia="es-AR"/>
        </w:rPr>
        <w:lastRenderedPageBreak/>
        <w:drawing>
          <wp:inline distT="0" distB="0" distL="0" distR="0" wp14:anchorId="3823283B" wp14:editId="37CB28CA">
            <wp:extent cx="466725" cy="571500"/>
            <wp:effectExtent l="19050" t="0" r="9525" b="0"/>
            <wp:docPr id="2" name="Imagen 2" descr="consec mend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onsec mendoz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Calibri"/>
          <w:color w:val="000000"/>
          <w:sz w:val="28"/>
          <w:szCs w:val="28"/>
        </w:rPr>
        <w:t xml:space="preserve">                                                               </w:t>
      </w:r>
      <w:r w:rsidRPr="00F14184">
        <w:rPr>
          <w:rFonts w:cs="Calibri"/>
          <w:color w:val="000000"/>
          <w:sz w:val="28"/>
          <w:szCs w:val="28"/>
        </w:rPr>
        <w:t>C</w:t>
      </w:r>
      <w:r w:rsidRPr="00F14184">
        <w:rPr>
          <w:rFonts w:cs="Calibri"/>
          <w:color w:val="000000"/>
        </w:rPr>
        <w:t xml:space="preserve">ONSEJO DE </w:t>
      </w:r>
      <w:r w:rsidRPr="00F14184">
        <w:rPr>
          <w:rFonts w:cs="Calibri"/>
          <w:color w:val="000000"/>
          <w:sz w:val="28"/>
          <w:szCs w:val="28"/>
        </w:rPr>
        <w:t>E</w:t>
      </w:r>
      <w:r w:rsidRPr="00F14184">
        <w:rPr>
          <w:rFonts w:cs="Calibri"/>
          <w:color w:val="000000"/>
        </w:rPr>
        <w:t xml:space="preserve">DUCACIÓN </w:t>
      </w:r>
      <w:r w:rsidRPr="00F14184">
        <w:rPr>
          <w:rFonts w:cs="Calibri"/>
          <w:color w:val="000000"/>
          <w:sz w:val="28"/>
          <w:szCs w:val="28"/>
        </w:rPr>
        <w:t>C</w:t>
      </w:r>
      <w:r w:rsidRPr="00F14184">
        <w:rPr>
          <w:rFonts w:cs="Calibri"/>
          <w:color w:val="000000"/>
        </w:rPr>
        <w:t xml:space="preserve">ATÓLICA </w:t>
      </w:r>
    </w:p>
    <w:p w:rsidR="00CE2256" w:rsidRPr="007B4780" w:rsidRDefault="00CE2256" w:rsidP="00CE2256">
      <w:pPr>
        <w:pBdr>
          <w:bottom w:val="single" w:sz="12" w:space="1" w:color="auto"/>
        </w:pBdr>
        <w:spacing w:after="0"/>
        <w:jc w:val="center"/>
        <w:rPr>
          <w:color w:val="3B3838" w:themeColor="background2" w:themeShade="40"/>
          <w:sz w:val="16"/>
          <w:szCs w:val="16"/>
        </w:rPr>
      </w:pPr>
      <w:r w:rsidRPr="007B4780">
        <w:rPr>
          <w:rFonts w:cs="Calibri"/>
          <w:b/>
          <w:color w:val="808080"/>
          <w:sz w:val="16"/>
          <w:szCs w:val="16"/>
        </w:rPr>
        <w:t>Uruguay 750, Godoy Cruz- 5501 Mendoza -</w:t>
      </w:r>
      <w:r w:rsidRPr="007B4780">
        <w:rPr>
          <w:rFonts w:cs="Calibri"/>
          <w:sz w:val="16"/>
          <w:szCs w:val="16"/>
        </w:rPr>
        <w:t xml:space="preserve"> </w:t>
      </w:r>
      <w:hyperlink r:id="rId7" w:history="1">
        <w:r w:rsidRPr="007B4780">
          <w:rPr>
            <w:rStyle w:val="Hipervnculo"/>
            <w:rFonts w:cs="Calibri"/>
            <w:sz w:val="16"/>
            <w:szCs w:val="16"/>
          </w:rPr>
          <w:t>consec.mendoza@gmail.com</w:t>
        </w:r>
      </w:hyperlink>
      <w:r w:rsidRPr="007B4780">
        <w:rPr>
          <w:sz w:val="16"/>
          <w:szCs w:val="16"/>
        </w:rPr>
        <w:t xml:space="preserve"> – </w:t>
      </w:r>
      <w:hyperlink r:id="rId8" w:history="1">
        <w:r w:rsidRPr="007B4780">
          <w:rPr>
            <w:rStyle w:val="Hipervnculo"/>
            <w:sz w:val="16"/>
            <w:szCs w:val="16"/>
          </w:rPr>
          <w:t>www.consecmendoza.org</w:t>
        </w:r>
      </w:hyperlink>
      <w:r w:rsidRPr="007B4780">
        <w:rPr>
          <w:sz w:val="16"/>
          <w:szCs w:val="16"/>
        </w:rPr>
        <w:t xml:space="preserve"> </w:t>
      </w:r>
      <w:r w:rsidRPr="007B4780">
        <w:rPr>
          <w:b/>
          <w:bCs/>
          <w:color w:val="3B3838" w:themeColor="background2" w:themeShade="40"/>
          <w:sz w:val="16"/>
          <w:szCs w:val="16"/>
        </w:rPr>
        <w:t>Tel. celular (261) 7000 388</w:t>
      </w:r>
    </w:p>
    <w:p w:rsidR="00CE2256" w:rsidRDefault="00CE2256" w:rsidP="00E23F65">
      <w:pPr>
        <w:jc w:val="both"/>
      </w:pPr>
    </w:p>
    <w:p w:rsidR="003E3C35" w:rsidRDefault="003E3C35" w:rsidP="00E23F65">
      <w:pPr>
        <w:jc w:val="both"/>
      </w:pPr>
      <w:r>
        <w:t xml:space="preserve">La presente solicitud </w:t>
      </w:r>
      <w:r w:rsidRPr="00CE2256">
        <w:rPr>
          <w:b/>
        </w:rPr>
        <w:t>reitera lo anticipado por nota del 26/3</w:t>
      </w:r>
      <w:r>
        <w:t xml:space="preserve"> fecha en la que ya visualizábamos algunas de estas dificultades, y que con la extensión del aislamiento social se han visto profundizadas.</w:t>
      </w:r>
    </w:p>
    <w:p w:rsidR="00CE2256" w:rsidRDefault="00A015EF" w:rsidP="00E23F65">
      <w:pPr>
        <w:jc w:val="both"/>
      </w:pPr>
      <w:r>
        <w:t>Agradeciendo desde ya su atención</w:t>
      </w:r>
      <w:r w:rsidR="003E3C35">
        <w:t xml:space="preserve"> y sabiendo que a todos nos une el mismo fin: la protección de </w:t>
      </w:r>
      <w:r w:rsidR="00CE2256">
        <w:t>todas y cada una de las</w:t>
      </w:r>
      <w:r w:rsidR="003E3C35">
        <w:t xml:space="preserve"> comunidad</w:t>
      </w:r>
      <w:r w:rsidR="00CE2256">
        <w:t>es</w:t>
      </w:r>
      <w:r w:rsidR="003E3C35">
        <w:t xml:space="preserve"> educativa</w:t>
      </w:r>
      <w:r w:rsidR="00CE2256">
        <w:t>s</w:t>
      </w:r>
      <w:r w:rsidR="003E3C35">
        <w:t xml:space="preserve"> y evangelizadora</w:t>
      </w:r>
      <w:r w:rsidR="00CE2256">
        <w:t>s</w:t>
      </w:r>
      <w:r w:rsidR="003E3C35">
        <w:t xml:space="preserve">, la de las personas que la conformamos, </w:t>
      </w:r>
      <w:r w:rsidR="00997744">
        <w:t xml:space="preserve">la </w:t>
      </w:r>
      <w:r w:rsidR="003E3C35">
        <w:t>de la salud e integridad</w:t>
      </w:r>
      <w:r w:rsidR="00CE2256">
        <w:t xml:space="preserve"> de sus miembros</w:t>
      </w:r>
      <w:r w:rsidR="003E3C35">
        <w:t xml:space="preserve">, </w:t>
      </w:r>
      <w:r w:rsidR="00CE2256">
        <w:t>y por ende</w:t>
      </w:r>
      <w:r w:rsidR="003E3C35">
        <w:t xml:space="preserve"> </w:t>
      </w:r>
      <w:r w:rsidR="00997744">
        <w:t xml:space="preserve">la protección </w:t>
      </w:r>
      <w:r w:rsidR="003E3C35">
        <w:t>de las fuentes de trabajo,</w:t>
      </w:r>
      <w:r w:rsidR="00997744">
        <w:t xml:space="preserve"> es que</w:t>
      </w:r>
      <w:r w:rsidR="003E3C35">
        <w:t xml:space="preserve"> </w:t>
      </w:r>
      <w:r>
        <w:t>aguarda</w:t>
      </w:r>
      <w:r w:rsidR="00997744">
        <w:t>mos</w:t>
      </w:r>
      <w:r>
        <w:t xml:space="preserve"> una respuesta que contemple lo solicitado</w:t>
      </w:r>
      <w:r w:rsidR="00CE2256">
        <w:t>.</w:t>
      </w:r>
    </w:p>
    <w:p w:rsidR="00997744" w:rsidRDefault="00CE2256" w:rsidP="00E23F65">
      <w:pPr>
        <w:jc w:val="both"/>
      </w:pPr>
      <w:r>
        <w:t>Aprovechamos la oportunidad para saludarla muy especialmente en esta Semana Santa, que transitamos dirigiendo la mirada a la esperanza que vive en Cristo Resucitado.</w:t>
      </w:r>
    </w:p>
    <w:p w:rsidR="00CE2256" w:rsidRDefault="00CE2256" w:rsidP="00E23F65">
      <w:pPr>
        <w:jc w:val="both"/>
      </w:pPr>
    </w:p>
    <w:p w:rsidR="00CE2256" w:rsidRDefault="00CE2256" w:rsidP="00E23F65">
      <w:pPr>
        <w:jc w:val="both"/>
      </w:pPr>
    </w:p>
    <w:p w:rsidR="00CE2256" w:rsidRPr="001D7E82" w:rsidRDefault="00CE2256" w:rsidP="00CE2256">
      <w:pPr>
        <w:spacing w:after="0" w:line="240" w:lineRule="auto"/>
        <w:rPr>
          <w:rFonts w:eastAsia="Times New Roman" w:cstheme="minorHAnsi"/>
          <w:color w:val="666666"/>
          <w:lang w:val="es-ES" w:eastAsia="es-ES"/>
        </w:rPr>
      </w:pPr>
      <w:r w:rsidRPr="001D7E82">
        <w:rPr>
          <w:rFonts w:eastAsia="Times New Roman" w:cstheme="minorHAnsi"/>
          <w:color w:val="666666"/>
          <w:lang w:val="es-ES" w:eastAsia="es-ES"/>
        </w:rPr>
        <w:t xml:space="preserve">Hno. Eutimio Rubio </w:t>
      </w:r>
      <w:proofErr w:type="spellStart"/>
      <w:r w:rsidRPr="001D7E82">
        <w:rPr>
          <w:rFonts w:eastAsia="Times New Roman" w:cstheme="minorHAnsi"/>
          <w:color w:val="666666"/>
          <w:lang w:val="es-ES" w:eastAsia="es-ES"/>
        </w:rPr>
        <w:t>Saez</w:t>
      </w:r>
      <w:proofErr w:type="spellEnd"/>
      <w:r w:rsidRPr="001D7E82">
        <w:rPr>
          <w:rFonts w:eastAsia="Times New Roman" w:cstheme="minorHAnsi"/>
          <w:color w:val="666666"/>
          <w:lang w:val="es-ES" w:eastAsia="es-ES"/>
        </w:rPr>
        <w:t xml:space="preserve"> </w:t>
      </w:r>
      <w:r w:rsidRPr="001D7E82">
        <w:rPr>
          <w:rFonts w:eastAsia="Times New Roman" w:cstheme="minorHAnsi"/>
          <w:color w:val="666666"/>
          <w:lang w:val="es-ES" w:eastAsia="es-ES"/>
        </w:rPr>
        <w:tab/>
      </w:r>
      <w:r w:rsidRPr="001D7E82">
        <w:rPr>
          <w:rFonts w:eastAsia="Times New Roman" w:cstheme="minorHAnsi"/>
          <w:color w:val="666666"/>
          <w:lang w:val="es-ES" w:eastAsia="es-ES"/>
        </w:rPr>
        <w:tab/>
      </w:r>
      <w:r w:rsidRPr="001D7E82">
        <w:rPr>
          <w:rFonts w:eastAsia="Times New Roman" w:cstheme="minorHAnsi"/>
          <w:color w:val="666666"/>
          <w:lang w:val="es-ES" w:eastAsia="es-ES"/>
        </w:rPr>
        <w:tab/>
      </w:r>
      <w:r w:rsidRPr="001D7E82">
        <w:rPr>
          <w:rFonts w:eastAsia="Times New Roman" w:cstheme="minorHAnsi"/>
          <w:color w:val="666666"/>
          <w:lang w:val="es-ES" w:eastAsia="es-ES"/>
        </w:rPr>
        <w:tab/>
      </w:r>
      <w:r>
        <w:rPr>
          <w:rFonts w:eastAsia="Times New Roman" w:cstheme="minorHAnsi"/>
          <w:color w:val="666666"/>
          <w:lang w:val="es-ES" w:eastAsia="es-ES"/>
        </w:rPr>
        <w:tab/>
      </w:r>
      <w:r>
        <w:rPr>
          <w:rFonts w:eastAsia="Times New Roman" w:cstheme="minorHAnsi"/>
          <w:color w:val="666666"/>
          <w:lang w:val="es-ES" w:eastAsia="es-ES"/>
        </w:rPr>
        <w:tab/>
      </w:r>
      <w:r w:rsidRPr="001D7E82">
        <w:rPr>
          <w:rFonts w:eastAsia="Times New Roman" w:cstheme="minorHAnsi"/>
          <w:color w:val="666666"/>
          <w:lang w:val="es-ES" w:eastAsia="es-ES"/>
        </w:rPr>
        <w:t xml:space="preserve">Lic. Fernando </w:t>
      </w:r>
      <w:proofErr w:type="spellStart"/>
      <w:r w:rsidRPr="001D7E82">
        <w:rPr>
          <w:rFonts w:eastAsia="Times New Roman" w:cstheme="minorHAnsi"/>
          <w:color w:val="666666"/>
          <w:lang w:val="es-ES" w:eastAsia="es-ES"/>
        </w:rPr>
        <w:t>Bertonati</w:t>
      </w:r>
      <w:proofErr w:type="spellEnd"/>
      <w:r w:rsidRPr="001D7E82">
        <w:rPr>
          <w:rFonts w:eastAsia="Times New Roman" w:cstheme="minorHAnsi"/>
          <w:color w:val="666666"/>
          <w:lang w:val="es-ES" w:eastAsia="es-ES"/>
        </w:rPr>
        <w:t xml:space="preserve"> </w:t>
      </w:r>
    </w:p>
    <w:p w:rsidR="00CE2256" w:rsidRPr="001D7E82" w:rsidRDefault="00CE2256" w:rsidP="00CE2256">
      <w:pPr>
        <w:spacing w:after="0" w:line="240" w:lineRule="auto"/>
        <w:rPr>
          <w:rFonts w:eastAsia="Times New Roman" w:cstheme="minorHAnsi"/>
          <w:lang w:val="es-ES" w:eastAsia="es-ES"/>
        </w:rPr>
      </w:pPr>
      <w:r>
        <w:rPr>
          <w:rFonts w:eastAsia="Times New Roman" w:cstheme="minorHAnsi"/>
          <w:color w:val="666666"/>
          <w:lang w:val="es-ES" w:eastAsia="es-ES"/>
        </w:rPr>
        <w:t xml:space="preserve">    </w:t>
      </w:r>
      <w:r w:rsidRPr="001D7E82">
        <w:rPr>
          <w:rFonts w:eastAsia="Times New Roman" w:cstheme="minorHAnsi"/>
          <w:color w:val="666666"/>
          <w:lang w:val="es-ES" w:eastAsia="es-ES"/>
        </w:rPr>
        <w:t xml:space="preserve">Presidente CONSEC </w:t>
      </w:r>
      <w:r w:rsidRPr="001D7E82">
        <w:rPr>
          <w:rFonts w:eastAsia="Times New Roman" w:cstheme="minorHAnsi"/>
          <w:color w:val="666666"/>
          <w:lang w:val="es-ES" w:eastAsia="es-ES"/>
        </w:rPr>
        <w:tab/>
      </w:r>
      <w:r w:rsidRPr="001D7E82">
        <w:rPr>
          <w:rFonts w:eastAsia="Times New Roman" w:cstheme="minorHAnsi"/>
          <w:color w:val="666666"/>
          <w:lang w:val="es-ES" w:eastAsia="es-ES"/>
        </w:rPr>
        <w:tab/>
      </w:r>
      <w:r w:rsidRPr="001D7E82">
        <w:rPr>
          <w:rFonts w:eastAsia="Times New Roman" w:cstheme="minorHAnsi"/>
          <w:color w:val="666666"/>
          <w:lang w:val="es-ES" w:eastAsia="es-ES"/>
        </w:rPr>
        <w:tab/>
      </w:r>
      <w:r w:rsidRPr="001D7E82">
        <w:rPr>
          <w:rFonts w:eastAsia="Times New Roman" w:cstheme="minorHAnsi"/>
          <w:color w:val="666666"/>
          <w:lang w:val="es-ES" w:eastAsia="es-ES"/>
        </w:rPr>
        <w:tab/>
      </w:r>
      <w:r w:rsidRPr="001D7E82">
        <w:rPr>
          <w:rFonts w:eastAsia="Times New Roman" w:cstheme="minorHAnsi"/>
          <w:color w:val="666666"/>
          <w:lang w:val="es-ES" w:eastAsia="es-ES"/>
        </w:rPr>
        <w:tab/>
      </w:r>
      <w:r>
        <w:rPr>
          <w:rFonts w:eastAsia="Times New Roman" w:cstheme="minorHAnsi"/>
          <w:color w:val="666666"/>
          <w:lang w:val="es-ES" w:eastAsia="es-ES"/>
        </w:rPr>
        <w:tab/>
      </w:r>
      <w:r>
        <w:rPr>
          <w:rFonts w:eastAsia="Times New Roman" w:cstheme="minorHAnsi"/>
          <w:color w:val="666666"/>
          <w:lang w:val="es-ES" w:eastAsia="es-ES"/>
        </w:rPr>
        <w:tab/>
      </w:r>
      <w:r w:rsidRPr="001D7E82">
        <w:rPr>
          <w:rFonts w:eastAsia="Times New Roman" w:cstheme="minorHAnsi"/>
          <w:color w:val="666666"/>
          <w:lang w:val="es-ES" w:eastAsia="es-ES"/>
        </w:rPr>
        <w:t>Vicepresidente CONSEC</w:t>
      </w:r>
    </w:p>
    <w:p w:rsidR="00CE2256" w:rsidRPr="001D7E82" w:rsidRDefault="00CE2256" w:rsidP="00CE2256">
      <w:pPr>
        <w:spacing w:after="0" w:line="240" w:lineRule="auto"/>
        <w:rPr>
          <w:rFonts w:eastAsia="Times New Roman" w:cstheme="minorHAnsi"/>
          <w:lang w:val="es-ES" w:eastAsia="es-ES"/>
        </w:rPr>
      </w:pPr>
    </w:p>
    <w:p w:rsidR="00CE2256" w:rsidRDefault="00CE2256" w:rsidP="00E23F65">
      <w:pPr>
        <w:jc w:val="both"/>
      </w:pPr>
    </w:p>
    <w:sectPr w:rsidR="00CE22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64"/>
    <w:rsid w:val="00001ACF"/>
    <w:rsid w:val="00345137"/>
    <w:rsid w:val="003E3C35"/>
    <w:rsid w:val="004550BB"/>
    <w:rsid w:val="00603CB6"/>
    <w:rsid w:val="006A2155"/>
    <w:rsid w:val="00740203"/>
    <w:rsid w:val="008C7664"/>
    <w:rsid w:val="00997744"/>
    <w:rsid w:val="00A015EF"/>
    <w:rsid w:val="00CE2256"/>
    <w:rsid w:val="00CE3684"/>
    <w:rsid w:val="00D90B3B"/>
    <w:rsid w:val="00E2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EE9BD0-3E92-43AB-8FA8-F187751F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015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6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ecmendoza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nsec.mendoz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ecmendoza.org" TargetMode="External"/><Relationship Id="rId5" Type="http://schemas.openxmlformats.org/officeDocument/2006/relationships/hyperlink" Target="mailto:consec.mendoza@gmai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</dc:creator>
  <cp:keywords/>
  <dc:description/>
  <cp:lastModifiedBy>sisi</cp:lastModifiedBy>
  <cp:revision>2</cp:revision>
  <dcterms:created xsi:type="dcterms:W3CDTF">2020-04-06T12:04:00Z</dcterms:created>
  <dcterms:modified xsi:type="dcterms:W3CDTF">2020-04-06T12:04:00Z</dcterms:modified>
</cp:coreProperties>
</file>